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150</w:t>
      </w:r>
    </w:p>
    <w:p>
      <w:r>
        <w:t>Bundesgericht (BGE), 1969-09-26, IT</w:t>
      </w:r>
    </w:p>
    <w:p>
      <w:r>
        <w:rPr>
          <w:b/>
        </w:rPr>
        <w:t xml:space="preserve">Quelle: </w:t>
      </w:r>
      <w:r>
        <w:t>https://mcp.opencaselaw.ch/entscheid/bge_95 IV 150</w:t>
      </w:r>
    </w:p>
    <w:p>
      <w:r>
        <w:t>FR: ATF 95 IV 150</w:t>
      </w:r>
    </w:p>
    <w:p>
      <w:r>
        <w:t>IT: DTF 95 IV 150</w:t>
      </w:r>
    </w:p>
    <w:p>
      <w:pPr>
        <w:pStyle w:val="Heading2"/>
      </w:pPr>
      <w:r>
        <w:t>Regeste</w:t>
      </w:r>
    </w:p>
    <w:p>
      <w:r>
        <w:t>Regeste Pflichtwidriges Verhalten bei Unfall; Flucht des Fahrzeugführers, der einen Menschen getötet oder verletzt hat. Art. 92 Abs. 2 SVG. 1. Im Sinne dieser Bestimmung ist eine Person schon dann "verletzt", wenn sie kleine Schürfungen oder Prellungen erleidet (Erw. 1). 2. Ein Fahrzeugführer, der nicht auf der Unfallstelle bleibt, ergreift die Flucht (Erw. 2). Ist er selber verletzt, so ist er von der Anklage der Führerflucht nur freizusprechen, wenn er die ihm obliegenden Pflichten soweit als möglich erfüllte, bevor er sich von der Unfallstelle entfernte (Erw. 3).</w:t>
      </w:r>
    </w:p>
    <w:p>
      <w:pPr>
        <w:pStyle w:val="Heading2"/>
      </w:pPr>
      <w:r>
        <w:t>Erwägungen</w:t>
      </w:r>
    </w:p>
    <w:p>
      <w:r>
        <w:rPr>
          <w:b/>
        </w:rPr>
        <w:t>E. 1</w:t>
      </w:r>
    </w:p>
    <w:p>
      <w:r>
        <w:t>Il ricorrente fa in questa sede valere soltanto una violazione dell'art. 92 cpv. 2 LCStr., e rimprovera alla Corte cantonale d'averlo illegittimamente ritenuto colpevole del reato d'inosservanza dei doveri in caso d'infortunio. La condanna per guida in stato di ebrietà e per infrazione grave alle regole della circolazione, non più litigiosa già davanti alla precedente istanza, è cresciuta in giudicato. Secondo l'art. 92 cpv. 2 LCStr., il conducente che, dopo aver ucciso o ferito una persona in un infortunio della circolazione, si dà alla fuga, commette un reato che va punito. Giusta gli BGE 95 IV 150 S. 152 accertamenti di fatto vincolanti della Corte cantonale (art. 277bis cpv. 1 PPF), Walter Abt ha riportato nell'infortunio provocato dall'agire colpevole di Joos ferite al braccio e alla spalla. Il ricorrente, invero, contesta che Abt possa essere considerato come un "ferito" ai sensi della legge, dal momento ch'egli non sarebbe rimasto nemmeno un sol giorno totalmente inabile al lavoro. Questa opinione è infondata. La legge par la semplicemente di persona "ferita", cosicchè la gravità delle lesioni appare irrilevante (BADERTSCHER, p, 257 all'art. 92 cpv. 2 LCStr.; v. pure SCHULTZ, Strafbestimmungen, p. 218, secondo cui basta anche una leggera ferita). Anche nel caso di lievi contusioni o di escoriazioni, quando si può rinunciare al concorso della polizia, l'autore del danno deve almeno indicare al ferito il proprio nome e l'indirizzo (art. 55 OCStr.): ciò presuppone naturalmente che l'autore del danno non si allontani puramente e semplicemente dai luoghi. Del resto, in concreto, Abt ha riportato dall'infortunio ferite non del tutto lievi o insignificanti, se ha dovuto rimanere inabile al lavoro nella misura del 50% per poco meno di due mesi, e nella misura del 25% per altri cinque giorni. Se ne deve dedurre che le ferite subite da Walter Abt e che il ricorrente a ragione non pretende d'aver ignorate, fanno ritenere senz'altro adempiuto il citato requisito dell'art. 92 cpv. 2 LCStr.</w:t>
      </w:r>
    </w:p>
    <w:p>
      <w:r>
        <w:rPr>
          <w:b/>
        </w:rPr>
        <w:t>E. 2</w:t>
      </w:r>
    </w:p>
    <w:p>
      <w:r>
        <w:t>Joos contesta in secondo luogo d'essersi "dato alla fuga", dal momento ch'egli si è fermato sul posto dell'infortunio, vi ha lasciato la vettura ed è ripartito a piedi verso casa. Secondo il ricorrente, il reato di fuga sarebbe consumato solo da chi, nonostante un incidente, non si ferma, ma prosegue la marcia al volante dell'automobile. Questa opinione è infondata. Prescrivendo di non allontanarsi dal luogo dell'infortunio, l'art. 92 LCStr. intende perseguire un triplice scopo. Innanzitutto, quello di limitare al minimo i danni subentrati, attraverso l'aiuto ai feriti e l'adozione di misure atte a garantire la sicurezza della circolazione. Poi, quello di permettere un accertamento rapido e sicuro delle circostanze in cui l'infortunio si è prodotto. Infine, lo scopo di identificare gli interessati e i testimoni, anche in vista d'eventuali pretese civili. Sotto tale luce, è pertanto irrilevante che l'autore del danno prosegua nella sua marcia senza nemmeno fermarsi, oppure fermi la vettura sul luogo dell'infortunio per poi allontanarsene a piedi senza il BGE 95 IV 150 S. 153 permesso della polizia (v. SCHULTZ, op.cit., p. 218). D'altra parte, fuggendo dal luogo dell'incidente, l'autore del danno, secondo le circostanze, si sottrae pure illegittimamente alla prova del sangue ai sensi dell'art. 91 cpv. 3 LCStr.</w:t>
      </w:r>
    </w:p>
    <w:p>
      <w:r>
        <w:rPr>
          <w:b/>
        </w:rPr>
        <w:t>E. 3</w:t>
      </w:r>
    </w:p>
    <w:p>
      <w:r>
        <w:t>Vero è che il ricorrente sostiene di essersi allontanato dal luogo dello scontro perchè necessitevole di cure mediche. Ed è vero che, secondo la recente e tuttora valida giurisprudenza, possono abbandonare il posto dell'infortunio gli interessati che hanno personalmente bisogno di un soccorso medico (RU 90 IV 221). Tuttavia, è chiaro che sarà liberato dall'accusa di fuga in caso di infortunio solo colui che abbia adempiuto tutti i suoi doveri nell'ambito e nei limiti delle sue possibilità. Così, l'automobilista che ha riportato dall'infortunio solo lievi ferite, deve innanzitutto curarsi degli altri protagonisti dello scontro, e adottare le opportune misure di sicurezza, prima di abbandonare senza il permesso della polizia il luogo dell'incidente (SCHULTZ, op.cit., p. 221/2). Nella fattispecie, secondo le constatazioni vincolanti delle istanze cantonali, Bernardo Joos si è prodotto solo una lieve ferita al cuoio capelluto e, forse, anche una leggera commozione cerebrale. Comunque, egli ha lasciato l'ospedale appena 10 minuti dopo esservi entrato. Vero è che il ricorrente produce, per la prima volta in questa sede, un certificato medico da cui risulta ch'egli sarebbe stato tosto ricoverato in un altro ospedale, ove si sarebbe fermato qualche giorno. Ma questo certificato, anche a prescindere dalla sua inammissibilità (art. 273 cpv. 1 lett. b PPF), è irrilevante, perchè non dice più di quanto ha accertato la polizia. Quest'ultima non ha d'altra parte rilevato nè sulla vettura di Joos nè sul luogo dell'incidente alcuna traccia di sangue del ricorrente. Lo stato di Joos non era quindi tale da permettergli di abbandonare immediatamente, e senza indicare il proprio nome e indirizzo all'altro protagonista dello scontro, il luogo dell'incidente. In ogni caso, egli avrebbe dovuto almeno spiegare ad Abt perchè e dove andava. Certo, il ricorrente ha abbandonato sul posto la vettura che aveva guidato: ma questa circostanza non gli giova, perchè, in realtà, l'automobile apparteneva alla moglie, e l'identità del conducente ha potuto essere accertata solo dopo l'intervento della polizia. Joos è quindi fuggito dal luogo dell'incidente senza averne il diritto, e comunque senza aver prima adempiuto il propri doveri. I requisiti per il reato previsto dall'art. 92 LCStr. sono BGE 95 IV 150 S. 154 quindi adempiuti. In tali circostanze, il ricorso si rivela non solo infondato, ma, tenuto conto della notevole mitezza della pena inflitta, anche temerario.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